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r>
        <w:rPr>
          <w:rFonts w:hint="eastAsia" w:eastAsia="黑体" w:cs="黑体"/>
          <w:bCs/>
          <w:sz w:val="32"/>
          <w:szCs w:val="32"/>
        </w:rPr>
        <w:t>件</w:t>
      </w:r>
      <w:r>
        <w:rPr>
          <w:rFonts w:hint="eastAsia" w:eastAsia="黑体" w:cs="黑体"/>
          <w:bCs/>
          <w:sz w:val="32"/>
          <w:szCs w:val="32"/>
          <w:lang w:val="en-US" w:eastAsia="zh-CN"/>
        </w:rPr>
        <w:t>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18</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156"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岳阳市发展和改革委员会</w:t>
      </w:r>
      <w:r>
        <w:rPr>
          <w:rFonts w:hint="eastAsia" w:eastAsia="仿宋_GB2312"/>
          <w:sz w:val="32"/>
          <w:u w:val="single"/>
        </w:rPr>
        <w:t xml:space="preserve">                                 </w:t>
      </w:r>
    </w:p>
    <w:p>
      <w:pPr>
        <w:spacing w:before="156"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0140001</w:t>
      </w:r>
      <w:r>
        <w:rPr>
          <w:rFonts w:hint="eastAsia" w:eastAsia="仿宋_GB2312"/>
          <w:sz w:val="32"/>
          <w:u w:val="single"/>
        </w:rPr>
        <w:t xml:space="preserve">                                  </w:t>
      </w:r>
    </w:p>
    <w:p>
      <w:pPr>
        <w:spacing w:before="156"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348" w:lineRule="auto"/>
        <w:ind w:firstLine="476" w:firstLineChars="150"/>
        <w:rPr>
          <w:rFonts w:hint="eastAsia"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2019</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10</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岳阳市财政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3" w:type="default"/>
          <w:footerReference r:id="rId4" w:type="even"/>
          <w:pgSz w:w="11906" w:h="16838"/>
          <w:pgMar w:top="1701" w:right="1417" w:bottom="1701" w:left="1417" w:header="851" w:footer="992" w:gutter="0"/>
          <w:pgNumType w:fmt="numberInDash" w:start="8"/>
          <w:cols w:space="720" w:num="1"/>
          <w:docGrid w:type="linesAndChars" w:linePitch="602" w:charSpace="-782"/>
        </w:sectPr>
      </w:pPr>
    </w:p>
    <w:tbl>
      <w:tblPr>
        <w:tblStyle w:val="3"/>
        <w:tblW w:w="10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233"/>
        <w:gridCol w:w="159"/>
        <w:gridCol w:w="526"/>
        <w:gridCol w:w="739"/>
        <w:gridCol w:w="333"/>
        <w:gridCol w:w="1000"/>
        <w:gridCol w:w="417"/>
        <w:gridCol w:w="1033"/>
        <w:gridCol w:w="277"/>
        <w:gridCol w:w="24"/>
        <w:gridCol w:w="1316"/>
        <w:gridCol w:w="59"/>
        <w:gridCol w:w="425"/>
        <w:gridCol w:w="975"/>
        <w:gridCol w:w="343"/>
        <w:gridCol w:w="248"/>
        <w:gridCol w:w="452"/>
        <w:gridCol w:w="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龚军训</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8880478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7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144 </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21" w:type="dxa"/>
            <w:gridSpan w:val="4"/>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19" w:type="dxa"/>
            <w:gridSpan w:val="15"/>
            <w:vAlign w:val="center"/>
          </w:tcPr>
          <w:p>
            <w:pPr>
              <w:autoSpaceDN w:val="0"/>
              <w:spacing w:line="400" w:lineRule="exact"/>
              <w:jc w:val="both"/>
              <w:textAlignment w:val="center"/>
              <w:rPr>
                <w:rFonts w:hint="eastAsia" w:ascii="仿宋_GB2312" w:hAnsi="仿宋_GB2312" w:eastAsia="宋体" w:cs="仿宋_GB2312"/>
                <w:color w:val="000000"/>
                <w:sz w:val="24"/>
                <w:lang w:eastAsia="zh-CN"/>
              </w:rPr>
            </w:pPr>
            <w:r>
              <w:rPr>
                <w:rFonts w:hint="eastAsia" w:ascii="宋体" w:hAnsi="宋体" w:eastAsia="宋体"/>
                <w:sz w:val="21"/>
                <w:lang w:val="en-US" w:eastAsia="zh-CN"/>
              </w:rPr>
              <w:t>岳阳市发展和改革委员会是市政府国民经济和社会发展综合职能部门。主要承担着研究拟订并组织实施全市经济和社会发展规划、推进全市重大项目建设、协调全市经济社会体制改革、优化全市经济发展环境、调控和保持全市价格总水平基本稳定、维护市场价费秩序等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8319" w:type="dxa"/>
            <w:gridSpan w:val="1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rPr>
              <w:t>任务</w:t>
            </w:r>
            <w:r>
              <w:rPr>
                <w:rFonts w:hint="eastAsia" w:ascii="宋体" w:hAnsi="宋体" w:eastAsia="宋体" w:cs="仿宋_GB2312"/>
                <w:color w:val="000000"/>
                <w:sz w:val="21"/>
                <w:lang w:val="en-US" w:eastAsia="zh-CN"/>
              </w:rPr>
              <w:t>1</w:t>
            </w:r>
            <w:r>
              <w:rPr>
                <w:rFonts w:hint="eastAsia" w:ascii="宋体" w:hAnsi="宋体" w:eastAsia="宋体" w:cs="仿宋_GB2312"/>
                <w:color w:val="000000"/>
                <w:sz w:val="21"/>
              </w:rPr>
              <w:t>：</w:t>
            </w:r>
            <w:r>
              <w:rPr>
                <w:rFonts w:hint="eastAsia" w:ascii="宋体" w:hAnsi="宋体" w:eastAsia="宋体" w:cs="仿宋_GB2312"/>
                <w:color w:val="000000"/>
                <w:sz w:val="21"/>
                <w:lang w:eastAsia="zh-CN"/>
              </w:rPr>
              <w:t>加强宏观综合，科学编制年度计划，做好经济形势监测分析。</w:t>
            </w:r>
          </w:p>
          <w:p>
            <w:pPr>
              <w:autoSpaceDN w:val="0"/>
              <w:spacing w:line="400" w:lineRule="exact"/>
              <w:jc w:val="left"/>
              <w:textAlignment w:val="center"/>
              <w:rPr>
                <w:rFonts w:hint="eastAsia" w:ascii="宋体" w:hAnsi="宋体" w:eastAsia="宋体" w:cs="仿宋_GB2312"/>
                <w:color w:val="000000"/>
                <w:sz w:val="21"/>
              </w:rPr>
            </w:pPr>
            <w:r>
              <w:rPr>
                <w:rFonts w:hint="eastAsia" w:ascii="宋体" w:hAnsi="宋体" w:eastAsia="宋体" w:cs="仿宋_GB2312"/>
                <w:color w:val="000000"/>
                <w:sz w:val="21"/>
              </w:rPr>
              <w:t>任务</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rPr>
              <w:t>：</w:t>
            </w:r>
            <w:r>
              <w:rPr>
                <w:rFonts w:hint="eastAsia" w:ascii="宋体" w:hAnsi="宋体" w:eastAsia="宋体" w:cs="仿宋_GB2312"/>
                <w:color w:val="000000"/>
                <w:sz w:val="21"/>
                <w:lang w:eastAsia="zh-CN"/>
              </w:rPr>
              <w:t>推进重大项目建设，争取国、省政策性资金，发展投资对经济增长的关键支撑作用。</w:t>
            </w:r>
          </w:p>
          <w:p>
            <w:pPr>
              <w:autoSpaceDN w:val="0"/>
              <w:spacing w:line="400" w:lineRule="exact"/>
              <w:jc w:val="left"/>
              <w:textAlignment w:val="center"/>
              <w:rPr>
                <w:rFonts w:hint="eastAsia" w:ascii="宋体" w:hAnsi="宋体" w:eastAsia="宋体"/>
                <w:sz w:val="21"/>
                <w:lang w:eastAsia="zh-CN"/>
              </w:rPr>
            </w:pPr>
            <w:r>
              <w:rPr>
                <w:rFonts w:hint="eastAsia" w:ascii="宋体" w:hAnsi="宋体" w:eastAsia="宋体" w:cs="仿宋_GB2312"/>
                <w:color w:val="000000"/>
                <w:sz w:val="21"/>
              </w:rPr>
              <w:t>任务</w:t>
            </w:r>
            <w:r>
              <w:rPr>
                <w:rFonts w:hint="eastAsia" w:ascii="宋体" w:hAnsi="宋体" w:eastAsia="宋体" w:cs="仿宋_GB2312"/>
                <w:color w:val="000000"/>
                <w:sz w:val="21"/>
                <w:lang w:val="en-US" w:eastAsia="zh-CN"/>
              </w:rPr>
              <w:t>3</w:t>
            </w:r>
            <w:r>
              <w:rPr>
                <w:rFonts w:hint="eastAsia" w:ascii="宋体" w:hAnsi="宋体" w:eastAsia="宋体" w:cs="仿宋_GB2312"/>
                <w:color w:val="000000"/>
                <w:sz w:val="21"/>
              </w:rPr>
              <w:t>：</w:t>
            </w:r>
            <w:r>
              <w:rPr>
                <w:rFonts w:hint="eastAsia" w:ascii="宋体" w:hAnsi="宋体" w:eastAsia="宋体" w:cs="仿宋_GB2312"/>
                <w:color w:val="000000"/>
                <w:sz w:val="21"/>
                <w:lang w:eastAsia="zh-CN"/>
              </w:rPr>
              <w:t>推进园区大会战及现代物流创新发展试点，</w:t>
            </w:r>
            <w:r>
              <w:rPr>
                <w:rFonts w:hint="eastAsia" w:ascii="宋体" w:hAnsi="宋体" w:eastAsia="宋体"/>
                <w:sz w:val="21"/>
                <w:lang w:eastAsia="zh-CN"/>
              </w:rPr>
              <w:t>协调产业发展。</w:t>
            </w:r>
          </w:p>
          <w:p>
            <w:pPr>
              <w:autoSpaceDN w:val="0"/>
              <w:spacing w:line="400" w:lineRule="exact"/>
              <w:jc w:val="left"/>
              <w:textAlignment w:val="center"/>
              <w:rPr>
                <w:rFonts w:hint="eastAsia" w:ascii="宋体" w:hAnsi="宋体" w:eastAsia="宋体"/>
                <w:sz w:val="21"/>
                <w:lang w:val="en-US" w:eastAsia="zh-CN"/>
              </w:rPr>
            </w:pPr>
            <w:r>
              <w:rPr>
                <w:rFonts w:hint="eastAsia" w:ascii="宋体" w:hAnsi="宋体" w:eastAsia="宋体"/>
                <w:sz w:val="21"/>
                <w:lang w:eastAsia="zh-CN"/>
              </w:rPr>
              <w:t>任务</w:t>
            </w:r>
            <w:r>
              <w:rPr>
                <w:rFonts w:hint="eastAsia" w:ascii="宋体" w:hAnsi="宋体" w:eastAsia="宋体"/>
                <w:sz w:val="21"/>
                <w:lang w:val="en-US" w:eastAsia="zh-CN"/>
              </w:rPr>
              <w:t>4：推进洞庭湖水环境综合治理，改善生态环境。</w:t>
            </w:r>
          </w:p>
          <w:p>
            <w:pPr>
              <w:autoSpaceDN w:val="0"/>
              <w:spacing w:line="400" w:lineRule="exact"/>
              <w:jc w:val="left"/>
              <w:textAlignment w:val="center"/>
              <w:rPr>
                <w:rFonts w:hint="eastAsia" w:ascii="宋体" w:hAnsi="宋体" w:eastAsia="宋体"/>
                <w:sz w:val="21"/>
                <w:lang w:val="en-US" w:eastAsia="zh-CN"/>
              </w:rPr>
            </w:pPr>
            <w:r>
              <w:rPr>
                <w:rFonts w:hint="eastAsia" w:ascii="宋体" w:hAnsi="宋体" w:eastAsia="宋体"/>
                <w:sz w:val="21"/>
                <w:lang w:val="en-US" w:eastAsia="zh-CN"/>
              </w:rPr>
              <w:t>任务5：推进社会信用体系建设，建立完善守信联合激励和失信联合惩戒制度。</w:t>
            </w:r>
          </w:p>
          <w:p>
            <w:pPr>
              <w:autoSpaceDN w:val="0"/>
              <w:spacing w:line="400" w:lineRule="exact"/>
              <w:jc w:val="left"/>
              <w:textAlignment w:val="center"/>
              <w:rPr>
                <w:rFonts w:hint="eastAsia" w:ascii="宋体" w:hAnsi="宋体" w:eastAsia="宋体"/>
                <w:sz w:val="21"/>
                <w:lang w:val="en-US" w:eastAsia="zh-CN"/>
              </w:rPr>
            </w:pPr>
            <w:r>
              <w:rPr>
                <w:rFonts w:hint="eastAsia" w:ascii="宋体" w:hAnsi="宋体" w:eastAsia="宋体"/>
                <w:sz w:val="21"/>
                <w:lang w:val="en-US" w:eastAsia="zh-CN"/>
              </w:rPr>
              <w:t>任务6：推进易地扶贫搬迁及开展光伏扶贫，着力保障和改善民生。</w:t>
            </w:r>
          </w:p>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rPr>
              <w:t>任务</w:t>
            </w:r>
            <w:r>
              <w:rPr>
                <w:rFonts w:hint="eastAsia" w:ascii="宋体" w:hAnsi="宋体" w:eastAsia="宋体" w:cs="仿宋_GB2312"/>
                <w:color w:val="000000"/>
                <w:sz w:val="21"/>
                <w:lang w:val="en-US" w:eastAsia="zh-CN"/>
              </w:rPr>
              <w:t>7</w:t>
            </w:r>
            <w:r>
              <w:rPr>
                <w:rFonts w:hint="eastAsia" w:ascii="宋体" w:hAnsi="宋体" w:eastAsia="宋体" w:cs="仿宋_GB2312"/>
                <w:color w:val="000000"/>
                <w:sz w:val="21"/>
              </w:rPr>
              <w:t>：</w:t>
            </w:r>
            <w:r>
              <w:rPr>
                <w:rFonts w:hint="eastAsia" w:ascii="宋体" w:hAnsi="宋体" w:eastAsia="宋体" w:cs="仿宋_GB2312"/>
                <w:color w:val="000000"/>
                <w:sz w:val="21"/>
                <w:lang w:eastAsia="zh-CN"/>
              </w:rPr>
              <w:t>推进经济和社会体制改革，深化改革成效。</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cs="仿宋_GB2312"/>
                <w:color w:val="000000"/>
                <w:sz w:val="21"/>
                <w:lang w:eastAsia="zh-CN"/>
              </w:rPr>
              <w:t>任务</w:t>
            </w:r>
            <w:r>
              <w:rPr>
                <w:rFonts w:hint="eastAsia" w:ascii="宋体" w:hAnsi="宋体" w:eastAsia="宋体" w:cs="仿宋_GB2312"/>
                <w:color w:val="000000"/>
                <w:sz w:val="21"/>
                <w:lang w:val="en-US" w:eastAsia="zh-CN"/>
              </w:rPr>
              <w:t>8：加强价格监管调控，维护市场价费秩序。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319" w:type="dxa"/>
            <w:gridSpan w:val="15"/>
            <w:vAlign w:val="center"/>
          </w:tcPr>
          <w:p>
            <w:pPr>
              <w:tabs>
                <w:tab w:val="left" w:pos="1025"/>
              </w:tabs>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宋体" w:hAnsi="宋体" w:eastAsia="宋体" w:cs="仿宋_GB2312"/>
                <w:color w:val="000000"/>
                <w:sz w:val="21"/>
                <w:lang w:eastAsia="zh-CN"/>
              </w:rPr>
              <w:t>围绕打造长江中游交通物流枢纽城市、建设国家区域性中心城市、洞庭湖生态环境整治，开展了专题课题研究，形成了一批研究成果。编制了军民融合深度发展“十三五”规划，牵头拟订了加快实体经济发展的若干意见。编制了政府投资项目三年滚动投资计划，全年共争取中央和省预算内资金16.3亿元，核准发行企业债券29亿元。牵头抓好石化、物流、能源等重点产业帮扶，制订出台了打造千亿现代物流产业行动方案。积极协调推进，抓好了全市62项经济体制改革事项、14项社会体制改革事项以及我委承担的改革事项的责任落实。出台了加快推进社会信用体系建设意见，“信用岳阳”网站共收录信用信息100多万条。成功举办了全省长江经济带洞庭湖水环境综合治理“五大专项行动”现场推进会。易地扶贫搬迁、光伏扶贫顺利通过省检和国检。组织开展了教育收费、涉企收费、电力价格、商品房销售价格等专项检查，有效维护了市场价格秩序。</w:t>
            </w:r>
            <w:r>
              <w:rPr>
                <w:rFonts w:hint="eastAsia" w:ascii="宋体" w:hAnsi="宋体" w:eastAsia="宋体" w:cs="仿宋_GB2312"/>
                <w:color w:val="000000"/>
                <w:sz w:val="21"/>
                <w:lang w:val="en-US" w:eastAsia="zh-CN"/>
              </w:rPr>
              <w:t>市发改委荣获全市综合绩效考评先进单位、综治工作合格单位。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580" w:type="dxa"/>
            <w:gridSpan w:val="14"/>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Merge w:val="continue"/>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50"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617"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30"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45" w:hRule="atLeast"/>
        </w:trPr>
        <w:tc>
          <w:tcPr>
            <w:tcW w:w="1392"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4313.89</w:t>
            </w:r>
          </w:p>
        </w:tc>
        <w:tc>
          <w:tcPr>
            <w:tcW w:w="1333" w:type="dxa"/>
            <w:gridSpan w:val="2"/>
            <w:tcBorders>
              <w:left w:val="single" w:color="auto" w:sz="4" w:space="0"/>
            </w:tcBorders>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622.22</w:t>
            </w:r>
          </w:p>
        </w:tc>
        <w:tc>
          <w:tcPr>
            <w:tcW w:w="1450" w:type="dxa"/>
            <w:gridSpan w:val="2"/>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3670.01</w:t>
            </w:r>
          </w:p>
        </w:tc>
        <w:tc>
          <w:tcPr>
            <w:tcW w:w="1617" w:type="dxa"/>
            <w:gridSpan w:val="3"/>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2"/>
            <w:tcBorders>
              <w:right w:val="single" w:color="auto" w:sz="4" w:space="0"/>
            </w:tcBorders>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4313.89</w:t>
            </w:r>
          </w:p>
        </w:tc>
        <w:tc>
          <w:tcPr>
            <w:tcW w:w="1333" w:type="dxa"/>
            <w:gridSpan w:val="2"/>
            <w:tcBorders>
              <w:left w:val="single" w:color="auto" w:sz="4" w:space="0"/>
            </w:tcBorders>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622.22</w:t>
            </w:r>
          </w:p>
        </w:tc>
        <w:tc>
          <w:tcPr>
            <w:tcW w:w="1450" w:type="dxa"/>
            <w:gridSpan w:val="2"/>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3670.01</w:t>
            </w:r>
          </w:p>
        </w:tc>
        <w:tc>
          <w:tcPr>
            <w:tcW w:w="1617" w:type="dxa"/>
            <w:gridSpan w:val="3"/>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2"/>
            <w:tcBorders>
              <w:righ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5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17" w:type="dxa"/>
            <w:gridSpan w:val="3"/>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392" w:type="dxa"/>
            <w:gridSpan w:val="2"/>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2"/>
            <w:tcBorders>
              <w:righ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5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17" w:type="dxa"/>
            <w:gridSpan w:val="3"/>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5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30" w:type="dxa"/>
            <w:gridSpan w:val="2"/>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restart"/>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6202" w:type="dxa"/>
            <w:gridSpan w:val="11"/>
            <w:tcBorders>
              <w:left w:val="single" w:color="auto" w:sz="4" w:space="0"/>
              <w:bottom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78" w:type="dxa"/>
            <w:gridSpan w:val="3"/>
            <w:tcBorders>
              <w:left w:val="single" w:color="auto" w:sz="4" w:space="0"/>
              <w:bottom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continue"/>
            <w:vAlign w:val="center"/>
          </w:tcPr>
          <w:p>
            <w:pPr>
              <w:spacing w:line="400" w:lineRule="exact"/>
              <w:jc w:val="center"/>
              <w:rPr>
                <w:rFonts w:hint="eastAsia" w:ascii="仿宋_GB2312" w:hAnsi="仿宋_GB2312" w:eastAsia="仿宋_GB2312"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restart"/>
            <w:tcBorders>
              <w:top w:val="single" w:color="auto" w:sz="4" w:space="0"/>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551" w:type="dxa"/>
            <w:gridSpan w:val="7"/>
            <w:tcBorders>
              <w:top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18" w:type="dxa"/>
            <w:gridSpan w:val="2"/>
            <w:vMerge w:val="restart"/>
            <w:tcBorders>
              <w:top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0" w:type="dxa"/>
            <w:gridSpan w:val="2"/>
            <w:vMerge w:val="restart"/>
            <w:tcBorders>
              <w:top w:val="single" w:color="auto" w:sz="4" w:space="0"/>
              <w:left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当年结余</w:t>
            </w:r>
          </w:p>
        </w:tc>
        <w:tc>
          <w:tcPr>
            <w:tcW w:w="678" w:type="dxa"/>
            <w:vMerge w:val="restart"/>
            <w:tcBorders>
              <w:top w:val="single" w:color="auto" w:sz="4" w:space="0"/>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continue"/>
            <w:vAlign w:val="center"/>
          </w:tcPr>
          <w:p>
            <w:pPr>
              <w:spacing w:line="400" w:lineRule="exact"/>
              <w:jc w:val="center"/>
              <w:rPr>
                <w:rFonts w:hint="eastAsia" w:ascii="仿宋_GB2312" w:hAnsi="仿宋_GB2312" w:eastAsia="仿宋_GB2312"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continue"/>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318"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vMerge w:val="continue"/>
            <w:tcBorders>
              <w:left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vMerge w:val="continue"/>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c>
          <w:tcPr>
            <w:tcW w:w="1333" w:type="dxa"/>
            <w:gridSpan w:val="2"/>
            <w:tcBorders>
              <w:lef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2974.06</w:t>
            </w:r>
          </w:p>
        </w:tc>
        <w:tc>
          <w:tcPr>
            <w:tcW w:w="1751" w:type="dxa"/>
            <w:gridSpan w:val="4"/>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2057.74</w:t>
            </w:r>
          </w:p>
        </w:tc>
        <w:tc>
          <w:tcPr>
            <w:tcW w:w="1800" w:type="dxa"/>
            <w:gridSpan w:val="3"/>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916.32</w:t>
            </w:r>
          </w:p>
        </w:tc>
        <w:tc>
          <w:tcPr>
            <w:tcW w:w="1318" w:type="dxa"/>
            <w:gridSpan w:val="2"/>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619.05</w:t>
            </w:r>
          </w:p>
        </w:tc>
        <w:tc>
          <w:tcPr>
            <w:tcW w:w="700"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c>
          <w:tcPr>
            <w:tcW w:w="1333" w:type="dxa"/>
            <w:gridSpan w:val="2"/>
            <w:tcBorders>
              <w:lef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2974.06</w:t>
            </w:r>
          </w:p>
        </w:tc>
        <w:tc>
          <w:tcPr>
            <w:tcW w:w="1751" w:type="dxa"/>
            <w:gridSpan w:val="4"/>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2057.74</w:t>
            </w:r>
          </w:p>
        </w:tc>
        <w:tc>
          <w:tcPr>
            <w:tcW w:w="1800" w:type="dxa"/>
            <w:gridSpan w:val="3"/>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916.32</w:t>
            </w:r>
          </w:p>
        </w:tc>
        <w:tc>
          <w:tcPr>
            <w:tcW w:w="1318" w:type="dxa"/>
            <w:gridSpan w:val="2"/>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619.05</w:t>
            </w:r>
          </w:p>
        </w:tc>
        <w:tc>
          <w:tcPr>
            <w:tcW w:w="700"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c>
          <w:tcPr>
            <w:tcW w:w="678" w:type="dxa"/>
            <w:tcBorders>
              <w:lef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18"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18"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700"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8" w:type="dxa"/>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580" w:type="dxa"/>
            <w:gridSpan w:val="14"/>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continue"/>
            <w:vAlign w:val="center"/>
          </w:tcPr>
          <w:p>
            <w:pPr>
              <w:spacing w:line="400" w:lineRule="exact"/>
              <w:jc w:val="center"/>
              <w:rPr>
                <w:rFonts w:hint="eastAsia" w:ascii="仿宋_GB2312" w:hAnsi="仿宋_GB2312" w:eastAsia="仿宋_GB2312"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168.71</w:t>
            </w:r>
          </w:p>
        </w:tc>
        <w:tc>
          <w:tcPr>
            <w:tcW w:w="1333" w:type="dxa"/>
            <w:gridSpan w:val="2"/>
            <w:tcBorders>
              <w:lef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27.11</w:t>
            </w: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36.46 </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2"/>
            <w:tcBorders>
              <w:righ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168.71</w:t>
            </w:r>
          </w:p>
        </w:tc>
        <w:tc>
          <w:tcPr>
            <w:tcW w:w="1333" w:type="dxa"/>
            <w:gridSpan w:val="2"/>
            <w:tcBorders>
              <w:lef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27.11</w:t>
            </w:r>
          </w:p>
        </w:tc>
        <w:tc>
          <w:tcPr>
            <w:tcW w:w="1751" w:type="dxa"/>
            <w:gridSpan w:val="4"/>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36.46</w:t>
            </w: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96"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2"/>
            <w:vMerge w:val="restart"/>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02" w:type="dxa"/>
            <w:gridSpan w:val="11"/>
            <w:tcBorders>
              <w:left w:val="single" w:color="auto" w:sz="4" w:space="0"/>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78" w:type="dxa"/>
            <w:gridSpan w:val="3"/>
            <w:vMerge w:val="restart"/>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Merge w:val="continue"/>
            <w:vAlign w:val="center"/>
          </w:tcPr>
          <w:p>
            <w:pPr>
              <w:spacing w:line="400" w:lineRule="exact"/>
              <w:jc w:val="center"/>
              <w:rPr>
                <w:rFonts w:hint="eastAsia" w:ascii="仿宋_GB2312" w:hAnsi="仿宋_GB2312" w:eastAsia="仿宋_GB2312" w:cs="仿宋_GB2312"/>
                <w:sz w:val="24"/>
              </w:rPr>
            </w:pPr>
          </w:p>
        </w:tc>
        <w:tc>
          <w:tcPr>
            <w:tcW w:w="1265" w:type="dxa"/>
            <w:gridSpan w:val="2"/>
            <w:vMerge w:val="continue"/>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18" w:type="dxa"/>
            <w:gridSpan w:val="5"/>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378" w:type="dxa"/>
            <w:gridSpan w:val="3"/>
            <w:vMerge w:val="continue"/>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2"/>
            <w:tcBorders>
              <w:righ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709.30</w:t>
            </w:r>
          </w:p>
        </w:tc>
        <w:tc>
          <w:tcPr>
            <w:tcW w:w="3084" w:type="dxa"/>
            <w:gridSpan w:val="6"/>
            <w:tcBorders>
              <w:lef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709.30</w:t>
            </w:r>
          </w:p>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3118"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2"/>
            <w:tcBorders>
              <w:righ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709.30</w:t>
            </w:r>
          </w:p>
        </w:tc>
        <w:tc>
          <w:tcPr>
            <w:tcW w:w="3084" w:type="dxa"/>
            <w:gridSpan w:val="6"/>
            <w:tcBorders>
              <w:left w:val="single" w:color="auto" w:sz="4" w:space="0"/>
            </w:tcBorders>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709.30</w:t>
            </w:r>
          </w:p>
        </w:tc>
        <w:tc>
          <w:tcPr>
            <w:tcW w:w="3118"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118"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trPr>
        <w:tc>
          <w:tcPr>
            <w:tcW w:w="1392" w:type="dxa"/>
            <w:gridSpan w:val="2"/>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2"/>
            <w:tcBorders>
              <w:righ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118"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7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233" w:type="dxa"/>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484" w:type="dxa"/>
            <w:gridSpan w:val="8"/>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20" w:type="dxa"/>
            <w:gridSpan w:val="9"/>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473"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4484" w:type="dxa"/>
            <w:gridSpan w:val="8"/>
            <w:vAlign w:val="center"/>
          </w:tcPr>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任务1：加强宏观综合，科学编制年度计划，做好经济形势监测分析。</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任务2：推进重大项目建设，争取国、省政策性资金，发展投资对经济增长的关键支撑作用。</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任务3：推进园区大会战及现代物流创新发展试点，协调产业发展。</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任务4：推进洞庭湖水环境综合治理，改善生态环境。</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任务5：推进社会信用体系建设，建立完善守信联合激励和失信联合惩戒制度。</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任务6：推进易地扶贫搬迁及开展光伏扶贫，着力保障和改善民生。</w:t>
            </w:r>
          </w:p>
          <w:p>
            <w:pPr>
              <w:autoSpaceDN w:val="0"/>
              <w:spacing w:line="400" w:lineRule="exact"/>
              <w:jc w:val="left"/>
              <w:textAlignment w:val="center"/>
              <w:rPr>
                <w:rFonts w:hint="eastAsia" w:ascii="宋体" w:hAnsi="宋体" w:eastAsia="宋体"/>
                <w:sz w:val="21"/>
              </w:rPr>
            </w:pPr>
            <w:r>
              <w:rPr>
                <w:rFonts w:hint="eastAsia" w:ascii="宋体" w:hAnsi="宋体" w:eastAsia="宋体"/>
                <w:sz w:val="21"/>
              </w:rPr>
              <w:t>任务7：推进经济和社会体制改革，深化改革成效。</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sz w:val="21"/>
              </w:rPr>
              <w:t>任务8：加强价格监管调控，维护市场价费秩序。</w:t>
            </w:r>
          </w:p>
        </w:tc>
        <w:tc>
          <w:tcPr>
            <w:tcW w:w="4520" w:type="dxa"/>
            <w:gridSpan w:val="9"/>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宋体" w:hAnsi="宋体" w:eastAsia="宋体" w:cs="仿宋_GB2312"/>
                <w:color w:val="000000"/>
                <w:sz w:val="21"/>
                <w:lang w:eastAsia="zh-CN"/>
              </w:rPr>
              <w:t>编制了军民融合深度发展“十三五”规划，牵头拟订了加快实体经济发展的若干意见。编制了政府投资项目三年滚动投资计划，全年共争取中央和省预算内资金</w:t>
            </w:r>
            <w:r>
              <w:rPr>
                <w:rFonts w:hint="eastAsia" w:ascii="宋体" w:hAnsi="宋体" w:eastAsia="宋体" w:cs="仿宋_GB2312"/>
                <w:color w:val="000000"/>
                <w:sz w:val="21"/>
                <w:lang w:val="en-US" w:eastAsia="zh-CN"/>
              </w:rPr>
              <w:t>17</w:t>
            </w:r>
            <w:r>
              <w:rPr>
                <w:rFonts w:hint="eastAsia" w:ascii="宋体" w:hAnsi="宋体" w:eastAsia="宋体" w:cs="仿宋_GB2312"/>
                <w:color w:val="000000"/>
                <w:sz w:val="21"/>
                <w:lang w:eastAsia="zh-CN"/>
              </w:rPr>
              <w:t>.3亿元，核准发行企业债券</w:t>
            </w:r>
            <w:r>
              <w:rPr>
                <w:rFonts w:hint="eastAsia" w:ascii="宋体" w:hAnsi="宋体" w:eastAsia="宋体" w:cs="仿宋_GB2312"/>
                <w:color w:val="000000"/>
                <w:sz w:val="21"/>
                <w:lang w:val="en-US" w:eastAsia="zh-CN"/>
              </w:rPr>
              <w:t>15</w:t>
            </w:r>
            <w:r>
              <w:rPr>
                <w:rFonts w:hint="eastAsia" w:ascii="宋体" w:hAnsi="宋体" w:eastAsia="宋体" w:cs="仿宋_GB2312"/>
                <w:color w:val="000000"/>
                <w:sz w:val="21"/>
                <w:lang w:eastAsia="zh-CN"/>
              </w:rPr>
              <w:t>亿元。制订出台了打造千亿现代物流产业行动方案。抓好了全市62项经济体制改革事项、14项社会体制改革事项以及我委承担的改革事项的责任落实。出台了加快推进社会信用体系建设意见，“信用岳阳”网站共收录信用信息100多万条。成功举办了全省长江经济带洞庭湖水环境综合治理“五大专项行动”现场推进会。年度</w:t>
            </w:r>
            <w:r>
              <w:rPr>
                <w:rFonts w:hint="eastAsia" w:ascii="宋体" w:hAnsi="宋体" w:eastAsia="宋体" w:cs="仿宋_GB2312"/>
                <w:color w:val="000000"/>
                <w:sz w:val="21"/>
                <w:lang w:val="en-US" w:eastAsia="zh-CN"/>
              </w:rPr>
              <w:t>137</w:t>
            </w:r>
            <w:r>
              <w:rPr>
                <w:rFonts w:hint="eastAsia" w:ascii="宋体" w:hAnsi="宋体" w:eastAsia="宋体" w:cs="仿宋_GB2312"/>
                <w:color w:val="000000"/>
                <w:sz w:val="21"/>
                <w:lang w:eastAsia="zh-CN"/>
              </w:rPr>
              <w:t>个易地扶贫搬迁安置项目全部竣工，搬迁入住</w:t>
            </w:r>
            <w:r>
              <w:rPr>
                <w:rFonts w:hint="eastAsia" w:ascii="宋体" w:hAnsi="宋体" w:eastAsia="宋体" w:cs="仿宋_GB2312"/>
                <w:color w:val="000000"/>
                <w:sz w:val="21"/>
                <w:lang w:val="en-US" w:eastAsia="zh-CN"/>
              </w:rPr>
              <w:t>17972</w:t>
            </w:r>
            <w:r>
              <w:rPr>
                <w:rFonts w:hint="eastAsia" w:ascii="宋体" w:hAnsi="宋体" w:eastAsia="宋体" w:cs="仿宋_GB2312"/>
                <w:color w:val="000000"/>
                <w:sz w:val="21"/>
                <w:lang w:eastAsia="zh-CN"/>
              </w:rPr>
              <w:t>人，顺利通过省检和国检。组织开展了教育收费、涉企收费、电力价格、商品房销售价格等专项检查，共查处价格投诉案件504件有效维护了市场价格秩序。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233" w:type="dxa"/>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174"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w:t>
            </w:r>
            <w:r>
              <w:rPr>
                <w:rFonts w:hint="eastAsia" w:ascii="仿宋_GB2312" w:hAnsi="仿宋_GB2312" w:eastAsia="仿宋_GB2312" w:cs="仿宋_GB2312"/>
                <w:color w:val="000000"/>
                <w:sz w:val="24"/>
                <w:lang w:eastAsia="zh-CN"/>
              </w:rPr>
              <w:t>目标</w:t>
            </w:r>
          </w:p>
        </w:tc>
        <w:tc>
          <w:tcPr>
            <w:tcW w:w="3121"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w:t>
            </w:r>
            <w:r>
              <w:rPr>
                <w:rFonts w:hint="eastAsia" w:ascii="仿宋_GB2312" w:hAnsi="仿宋_GB2312" w:eastAsia="仿宋_GB2312" w:cs="仿宋_GB2312"/>
                <w:color w:val="000000"/>
                <w:sz w:val="24"/>
                <w:lang w:eastAsia="zh-CN"/>
              </w:rPr>
              <w:t>包含上级部门和市委市政府布置的重点工作、实事任务等，根据部门实际进行调整细化</w:t>
            </w:r>
            <w:r>
              <w:rPr>
                <w:rFonts w:hint="eastAsia" w:ascii="仿宋_GB2312" w:hAnsi="仿宋_GB2312" w:eastAsia="仿宋_GB2312" w:cs="仿宋_GB2312"/>
                <w:color w:val="000000"/>
                <w:sz w:val="24"/>
              </w:rPr>
              <w:t>）</w:t>
            </w:r>
          </w:p>
        </w:tc>
        <w:tc>
          <w:tcPr>
            <w:tcW w:w="1417" w:type="dxa"/>
            <w:gridSpan w:val="2"/>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固定资产投资增长16%</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val="en-US" w:eastAsia="zh-CN"/>
              </w:rPr>
              <w:t>完成固定资产投资增长10.6%，高于全省0.6个百分点。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vAlign w:val="center"/>
          </w:tcPr>
          <w:p>
            <w:pPr>
              <w:spacing w:line="400" w:lineRule="exact"/>
              <w:rPr>
                <w:rFonts w:hint="eastAsia"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r>
              <w:rPr>
                <w:rFonts w:hint="eastAsia" w:ascii="宋体" w:hAnsi="宋体" w:eastAsia="宋体" w:cs="仿宋_GB2312"/>
                <w:color w:val="000000"/>
                <w:sz w:val="21"/>
                <w:lang w:val="en-US" w:eastAsia="zh-CN"/>
              </w:rPr>
              <w:t>地区生产总值增长9%左右</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val="en-US" w:eastAsia="zh-CN"/>
              </w:rPr>
              <w:t>实际增长8.3%。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指标1：易地扶贫搬迁</w:t>
            </w:r>
            <w:r>
              <w:rPr>
                <w:rFonts w:hint="eastAsia" w:ascii="宋体" w:hAnsi="宋体" w:eastAsia="宋体" w:cs="仿宋_GB2312"/>
                <w:color w:val="000000"/>
                <w:sz w:val="21"/>
                <w:lang w:val="en-US" w:eastAsia="zh-CN"/>
              </w:rPr>
              <w:t>17972人</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全年易地扶贫搬迁实际完成17972人，超额完成28%。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hint="eastAsia"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r>
              <w:rPr>
                <w:rFonts w:hint="eastAsia" w:ascii="宋体" w:hAnsi="宋体" w:eastAsia="宋体" w:cs="仿宋_GB2312"/>
                <w:color w:val="000000"/>
                <w:sz w:val="21"/>
                <w:lang w:val="en-US" w:eastAsia="zh-CN"/>
              </w:rPr>
              <w:t>争取中央、省预算内资金10亿元.</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争取中央和省预算内资金17.3亿元，发行企业债券18.4</w:t>
            </w:r>
            <w:bookmarkStart w:id="0" w:name="_GoBack"/>
            <w:bookmarkEnd w:id="0"/>
            <w:r>
              <w:rPr>
                <w:rFonts w:hint="eastAsia" w:ascii="宋体" w:hAnsi="宋体" w:eastAsia="宋体" w:cs="仿宋_GB2312"/>
                <w:color w:val="000000"/>
                <w:sz w:val="21"/>
                <w:lang w:val="en-US" w:eastAsia="zh-CN"/>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出台《岳阳市打造千亿物流产业行动方案（2017-2020年）》</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2</w:t>
            </w:r>
            <w:r>
              <w:rPr>
                <w:rFonts w:hint="eastAsia" w:ascii="宋体" w:hAnsi="宋体" w:eastAsia="宋体" w:cs="仿宋_GB2312"/>
                <w:color w:val="000000"/>
                <w:sz w:val="21"/>
                <w:lang w:eastAsia="zh-CN"/>
              </w:rPr>
              <w:t>：</w:t>
            </w:r>
            <w:r>
              <w:rPr>
                <w:rFonts w:hint="eastAsia" w:ascii="宋体" w:hAnsi="宋体" w:eastAsia="宋体" w:cs="仿宋_GB2312"/>
                <w:color w:val="000000"/>
                <w:sz w:val="21"/>
                <w:lang w:val="en-US" w:eastAsia="zh-CN"/>
              </w:rPr>
              <w:t>编制《岳阳市</w:t>
            </w:r>
            <w:r>
              <w:rPr>
                <w:rFonts w:hint="eastAsia" w:ascii="宋体" w:hAnsi="宋体" w:eastAsia="宋体" w:cs="仿宋_GB2312"/>
                <w:color w:val="000000"/>
                <w:sz w:val="21"/>
                <w:lang w:eastAsia="zh-CN"/>
              </w:rPr>
              <w:t>军民融合深度发展“十三五”规划</w:t>
            </w:r>
            <w:r>
              <w:rPr>
                <w:rFonts w:hint="eastAsia" w:ascii="宋体" w:hAnsi="宋体" w:eastAsia="宋体" w:cs="仿宋_GB2312"/>
                <w:color w:val="000000"/>
                <w:sz w:val="21"/>
                <w:lang w:val="en-US" w:eastAsia="zh-CN"/>
              </w:rPr>
              <w:t>》</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指标1：</w:t>
            </w:r>
            <w:r>
              <w:rPr>
                <w:rFonts w:hint="eastAsia" w:ascii="宋体" w:hAnsi="宋体" w:eastAsia="宋体" w:cs="仿宋_GB2312"/>
                <w:color w:val="000000"/>
                <w:sz w:val="21"/>
                <w:lang w:val="en-US" w:eastAsia="zh-CN"/>
              </w:rPr>
              <w:t>在预算内完成重大项目前期工作</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restart"/>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指标1：加快教育体育事业发展</w:t>
            </w:r>
          </w:p>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指标2：加快医疗卫生事业发展</w:t>
            </w:r>
          </w:p>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指标3：加快健康养老事业发展</w:t>
            </w:r>
          </w:p>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eastAsia="zh-CN"/>
              </w:rPr>
              <w:t>指标3：加快文化旅游事业发展</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val="en-US" w:eastAsia="zh-CN"/>
              </w:rPr>
            </w:pPr>
            <w:r>
              <w:rPr>
                <w:rFonts w:hint="eastAsia" w:ascii="宋体" w:hAnsi="宋体" w:eastAsia="宋体" w:cs="仿宋_GB2312"/>
                <w:color w:val="000000"/>
                <w:sz w:val="21"/>
                <w:lang w:val="en-US" w:eastAsia="zh-CN"/>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1：万元GDP能耗下降3%</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val="en-US" w:eastAsia="zh-CN"/>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指标1：加快生态文明建设</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一是积极申报创新案例。推荐“岳阳市构建铁山库区水资源保护和民生保障新模式”等改革典型申报省级生态文明体制改革创新案例</w:t>
            </w:r>
            <w:r>
              <w:rPr>
                <w:rFonts w:hint="eastAsia" w:ascii="宋体" w:hAnsi="宋体" w:eastAsia="宋体" w:cs="仿宋_GB2312"/>
                <w:color w:val="000000"/>
                <w:sz w:val="21"/>
                <w:lang w:val="en-US" w:eastAsia="zh-CN"/>
              </w:rPr>
              <w:t>.</w:t>
            </w:r>
            <w:r>
              <w:rPr>
                <w:rFonts w:hint="eastAsia" w:ascii="宋体" w:hAnsi="宋体" w:eastAsia="宋体" w:cs="仿宋_GB2312"/>
                <w:color w:val="000000"/>
                <w:sz w:val="21"/>
                <w:lang w:eastAsia="zh-CN"/>
              </w:rPr>
              <w:t>二是大力推广改革项目。全面推介我市华容县华一水库小流域农业面源污染综合治理试点项目的经验与做法。制定了《华容县打好农业面源污染防治攻坚战实施方案》等12个政策性文件。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trPr>
        <w:tc>
          <w:tcPr>
            <w:tcW w:w="1233" w:type="dxa"/>
            <w:vMerge w:val="continue"/>
            <w:vAlign w:val="center"/>
          </w:tcPr>
          <w:p>
            <w:pPr>
              <w:spacing w:line="400" w:lineRule="exact"/>
              <w:rPr>
                <w:rFonts w:hint="eastAsia" w:ascii="仿宋_GB2312" w:hAnsi="仿宋_GB2312" w:eastAsia="仿宋_GB2312" w:cs="仿宋_GB2312"/>
                <w:sz w:val="24"/>
              </w:rPr>
            </w:pPr>
          </w:p>
        </w:tc>
        <w:tc>
          <w:tcPr>
            <w:tcW w:w="1757" w:type="dxa"/>
            <w:gridSpan w:val="4"/>
            <w:vMerge w:val="continue"/>
            <w:vAlign w:val="center"/>
          </w:tcPr>
          <w:p>
            <w:pPr>
              <w:autoSpaceDN w:val="0"/>
              <w:spacing w:line="400" w:lineRule="exact"/>
              <w:rPr>
                <w:rFonts w:hint="eastAsia"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指标</w:t>
            </w:r>
            <w:r>
              <w:rPr>
                <w:rFonts w:hint="eastAsia" w:ascii="宋体" w:hAnsi="宋体" w:eastAsia="宋体" w:cs="仿宋_GB2312"/>
                <w:color w:val="000000"/>
                <w:sz w:val="21"/>
                <w:lang w:val="en-US" w:eastAsia="zh-CN"/>
              </w:rPr>
              <w:t>1：</w:t>
            </w:r>
            <w:r>
              <w:rPr>
                <w:rFonts w:hint="eastAsia" w:ascii="宋体" w:hAnsi="宋体" w:eastAsia="宋体" w:cs="仿宋_GB2312"/>
                <w:color w:val="000000"/>
                <w:sz w:val="21"/>
                <w:lang w:eastAsia="zh-CN"/>
              </w:rPr>
              <w:t>工作从审批到监管，从项目安排到向制度设计转变，部门公信力提升</w:t>
            </w:r>
          </w:p>
        </w:tc>
        <w:tc>
          <w:tcPr>
            <w:tcW w:w="3121" w:type="dxa"/>
            <w:gridSpan w:val="6"/>
            <w:vAlign w:val="center"/>
          </w:tcPr>
          <w:p>
            <w:pPr>
              <w:autoSpaceDN w:val="0"/>
              <w:spacing w:line="400" w:lineRule="exact"/>
              <w:jc w:val="left"/>
              <w:textAlignment w:val="center"/>
              <w:rPr>
                <w:rFonts w:hint="eastAsia" w:ascii="宋体" w:hAnsi="宋体" w:eastAsia="宋体" w:cs="仿宋_GB2312"/>
                <w:color w:val="000000"/>
                <w:sz w:val="21"/>
                <w:lang w:eastAsia="zh-CN"/>
              </w:rPr>
            </w:pPr>
            <w:r>
              <w:rPr>
                <w:rFonts w:hint="eastAsia" w:ascii="宋体" w:hAnsi="宋体" w:eastAsia="宋体" w:cs="仿宋_GB2312"/>
                <w:color w:val="000000"/>
                <w:sz w:val="21"/>
                <w:lang w:eastAsia="zh-CN"/>
              </w:rPr>
              <w:t>社会形象明显提升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299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247" w:type="dxa"/>
            <w:gridSpan w:val="13"/>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2990"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247" w:type="dxa"/>
            <w:gridSpan w:val="1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0237" w:type="dxa"/>
            <w:gridSpan w:val="18"/>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eastAsia="仿宋_GB2312"/>
                <w:sz w:val="32"/>
                <w:szCs w:val="32"/>
                <w:lang w:eastAsia="zh-CN"/>
              </w:rPr>
              <w:t>周和平</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发改委副主任</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岳阳市发展和改革委员会</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eastAsia="仿宋_GB2312"/>
                <w:sz w:val="32"/>
                <w:szCs w:val="32"/>
              </w:rPr>
              <w:t>傅峰　</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岳阳市发展和改革委员会</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eastAsia="仿宋_GB2312"/>
                <w:sz w:val="32"/>
                <w:szCs w:val="32"/>
                <w:lang w:eastAsia="zh-CN"/>
              </w:rPr>
              <w:t>姜华</w:t>
            </w:r>
          </w:p>
        </w:tc>
        <w:tc>
          <w:tcPr>
            <w:tcW w:w="3799"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综合科负责人</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岳阳市发展和改革委员会</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李华</w:t>
            </w:r>
          </w:p>
        </w:tc>
        <w:tc>
          <w:tcPr>
            <w:tcW w:w="3799" w:type="dxa"/>
            <w:gridSpan w:val="6"/>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办公室副主任</w:t>
            </w:r>
          </w:p>
        </w:tc>
        <w:tc>
          <w:tcPr>
            <w:tcW w:w="2799"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岳阳市发展和改革委员会</w:t>
            </w:r>
          </w:p>
        </w:tc>
        <w:tc>
          <w:tcPr>
            <w:tcW w:w="1721"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327" w:hRule="atLeast"/>
        </w:trPr>
        <w:tc>
          <w:tcPr>
            <w:tcW w:w="10237" w:type="dxa"/>
            <w:gridSpan w:val="18"/>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84" w:hRule="atLeast"/>
        </w:trPr>
        <w:tc>
          <w:tcPr>
            <w:tcW w:w="10237" w:type="dxa"/>
            <w:gridSpan w:val="18"/>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w:t>
            </w:r>
            <w:r>
              <w:rPr>
                <w:rFonts w:hint="eastAsia" w:ascii="仿宋_GB2312" w:hAnsi="仿宋_GB2312" w:eastAsia="仿宋_GB2312" w:cs="仿宋_GB2312"/>
                <w:color w:val="000000"/>
                <w:sz w:val="24"/>
                <w:lang w:eastAsia="zh-CN"/>
              </w:rPr>
              <w:t>章</w:t>
            </w:r>
            <w:r>
              <w:rPr>
                <w:rFonts w:hint="eastAsia" w:ascii="仿宋_GB2312" w:hAnsi="仿宋_GB2312" w:eastAsia="仿宋_GB2312" w:cs="仿宋_GB2312"/>
                <w:color w:val="000000"/>
                <w:sz w:val="24"/>
              </w:rPr>
              <w:t>）：</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66" w:hRule="atLeast"/>
        </w:trPr>
        <w:tc>
          <w:tcPr>
            <w:tcW w:w="10237" w:type="dxa"/>
            <w:gridSpan w:val="18"/>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r>
              <w:rPr>
                <w:rFonts w:hint="eastAsia" w:eastAsia="仿宋_GB2312"/>
                <w:sz w:val="24"/>
                <w:szCs w:val="24"/>
                <w:lang w:eastAsia="zh-CN"/>
              </w:rPr>
              <w:t>财政</w:t>
            </w:r>
            <w:r>
              <w:rPr>
                <w:rFonts w:hint="eastAsia" w:eastAsia="仿宋_GB2312"/>
                <w:sz w:val="24"/>
                <w:szCs w:val="24"/>
              </w:rPr>
              <w:t>部门</w:t>
            </w:r>
            <w:r>
              <w:rPr>
                <w:rFonts w:hint="eastAsia" w:eastAsia="仿宋_GB2312"/>
                <w:sz w:val="24"/>
                <w:szCs w:val="24"/>
                <w:lang w:eastAsia="zh-CN"/>
              </w:rPr>
              <w:t>归口业务科室</w:t>
            </w:r>
            <w:r>
              <w:rPr>
                <w:rFonts w:hint="eastAsia" w:eastAsia="仿宋_GB2312"/>
                <w:sz w:val="24"/>
                <w:szCs w:val="24"/>
              </w:rPr>
              <w:t>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eastAsia="仿宋_GB2312"/>
                <w:sz w:val="24"/>
                <w:szCs w:val="24"/>
              </w:rPr>
            </w:pPr>
            <w:r>
              <w:rPr>
                <w:rFonts w:hint="eastAsia" w:eastAsia="仿宋_GB2312"/>
                <w:sz w:val="24"/>
                <w:szCs w:val="24"/>
                <w:lang w:val="en-US" w:eastAsia="zh-CN"/>
              </w:rPr>
              <w:t xml:space="preserve"> </w:t>
            </w:r>
            <w:r>
              <w:rPr>
                <w:rFonts w:hint="eastAsia" w:eastAsia="仿宋_GB2312"/>
                <w:sz w:val="24"/>
                <w:szCs w:val="24"/>
              </w:rPr>
              <w:t xml:space="preserve">                                </w:t>
            </w:r>
            <w:r>
              <w:rPr>
                <w:rFonts w:hint="eastAsia" w:eastAsia="仿宋_GB2312"/>
                <w:sz w:val="24"/>
                <w:szCs w:val="24"/>
                <w:lang w:val="en-US" w:eastAsia="zh-CN"/>
              </w:rPr>
              <w:t xml:space="preserve"> 财</w:t>
            </w:r>
            <w:r>
              <w:rPr>
                <w:rFonts w:hint="eastAsia" w:eastAsia="仿宋_GB2312"/>
                <w:sz w:val="24"/>
                <w:szCs w:val="24"/>
                <w:lang w:eastAsia="zh-CN"/>
              </w:rPr>
              <w:t>政</w:t>
            </w:r>
            <w:r>
              <w:rPr>
                <w:rFonts w:hint="eastAsia" w:eastAsia="仿宋_GB2312"/>
                <w:sz w:val="24"/>
                <w:szCs w:val="24"/>
              </w:rPr>
              <w:t>部门</w:t>
            </w:r>
            <w:r>
              <w:rPr>
                <w:rFonts w:hint="eastAsia" w:eastAsia="仿宋_GB2312"/>
                <w:sz w:val="24"/>
                <w:szCs w:val="24"/>
                <w:lang w:eastAsia="zh-CN"/>
              </w:rPr>
              <w:t>归口业务科室</w:t>
            </w:r>
            <w:r>
              <w:rPr>
                <w:rFonts w:hint="eastAsia" w:eastAsia="仿宋_GB2312"/>
                <w:sz w:val="24"/>
                <w:szCs w:val="24"/>
              </w:rPr>
              <w:t>负责人（</w:t>
            </w:r>
            <w:r>
              <w:rPr>
                <w:rFonts w:hint="eastAsia" w:eastAsia="仿宋_GB2312"/>
                <w:sz w:val="24"/>
                <w:szCs w:val="24"/>
                <w:lang w:eastAsia="zh-CN"/>
              </w:rPr>
              <w:t>签章</w:t>
            </w:r>
            <w:r>
              <w:rPr>
                <w:rFonts w:hint="eastAsia" w:eastAsia="仿宋_GB2312"/>
                <w:sz w:val="24"/>
                <w:szCs w:val="24"/>
              </w:rPr>
              <w:t>）：</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4"/>
              </w:rPr>
            </w:pPr>
            <w:r>
              <w:rPr>
                <w:rFonts w:hint="eastAsia" w:eastAsia="仿宋_GB2312"/>
                <w:sz w:val="24"/>
                <w:szCs w:val="24"/>
              </w:rPr>
              <w:t xml:space="preserve">                                                      </w:t>
            </w:r>
            <w:r>
              <w:rPr>
                <w:rFonts w:hint="eastAsia" w:eastAsia="仿宋_GB2312"/>
                <w:sz w:val="24"/>
                <w:szCs w:val="24"/>
                <w:lang w:val="en-US" w:eastAsia="zh-CN"/>
              </w:rPr>
              <w:t xml:space="preserve">  </w:t>
            </w:r>
            <w:r>
              <w:rPr>
                <w:rFonts w:hint="eastAsia" w:eastAsia="仿宋_GB2312"/>
                <w:sz w:val="24"/>
                <w:szCs w:val="24"/>
              </w:rPr>
              <w:t xml:space="preserve">             年 </w:t>
            </w:r>
            <w:r>
              <w:rPr>
                <w:rFonts w:hint="eastAsia" w:eastAsia="仿宋_GB2312"/>
                <w:sz w:val="24"/>
                <w:szCs w:val="24"/>
                <w:lang w:val="en-US" w:eastAsia="zh-CN"/>
              </w:rPr>
              <w:t xml:space="preserve"> </w:t>
            </w:r>
            <w:r>
              <w:rPr>
                <w:rFonts w:hint="eastAsia" w:eastAsia="仿宋_GB2312"/>
                <w:sz w:val="24"/>
                <w:szCs w:val="24"/>
              </w:rPr>
              <w:t xml:space="preserve">  月   日</w:t>
            </w:r>
          </w:p>
        </w:tc>
      </w:tr>
    </w:tbl>
    <w:p>
      <w:r>
        <w:rPr>
          <w:rFonts w:hint="eastAsia" w:eastAsia="仿宋_GB2312" w:cs="仿宋_GB2312"/>
          <w:bCs/>
          <w:sz w:val="28"/>
          <w:szCs w:val="28"/>
        </w:rPr>
        <w:t>填报人（签名）：</w:t>
      </w:r>
      <w:r>
        <w:rPr>
          <w:rFonts w:hint="eastAsia" w:eastAsia="仿宋_GB2312" w:cs="仿宋_GB2312"/>
          <w:bCs/>
          <w:sz w:val="28"/>
          <w:szCs w:val="28"/>
          <w:lang w:eastAsia="zh-CN"/>
        </w:rPr>
        <w:t>黄锦虹</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8880477</w:t>
      </w:r>
    </w:p>
    <w:sectPr>
      <w:footerReference r:id="rId5" w:type="default"/>
      <w:pgSz w:w="11906" w:h="16838"/>
      <w:pgMar w:top="1587" w:right="850" w:bottom="1587" w:left="850"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- 15 -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057E5"/>
    <w:rsid w:val="07011D74"/>
    <w:rsid w:val="07245381"/>
    <w:rsid w:val="07DD46AE"/>
    <w:rsid w:val="10FB74C6"/>
    <w:rsid w:val="12E057E5"/>
    <w:rsid w:val="1ED72CE1"/>
    <w:rsid w:val="21EC3F45"/>
    <w:rsid w:val="293F3839"/>
    <w:rsid w:val="31892287"/>
    <w:rsid w:val="319462BB"/>
    <w:rsid w:val="34D8574A"/>
    <w:rsid w:val="3A4124AF"/>
    <w:rsid w:val="3C7F126E"/>
    <w:rsid w:val="3E0A3EB2"/>
    <w:rsid w:val="3EE70BA0"/>
    <w:rsid w:val="46246208"/>
    <w:rsid w:val="46C9166B"/>
    <w:rsid w:val="48A10447"/>
    <w:rsid w:val="4C6B6EAB"/>
    <w:rsid w:val="4F4D6836"/>
    <w:rsid w:val="54A92390"/>
    <w:rsid w:val="585F252D"/>
    <w:rsid w:val="61CA1EFB"/>
    <w:rsid w:val="688D030A"/>
    <w:rsid w:val="69C77525"/>
    <w:rsid w:val="6BEF40B1"/>
    <w:rsid w:val="6C46577C"/>
    <w:rsid w:val="6C466083"/>
    <w:rsid w:val="6D7645D5"/>
    <w:rsid w:val="6EEA3646"/>
    <w:rsid w:val="796F721C"/>
    <w:rsid w:val="79AD0E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customStyle="1" w:styleId="5">
    <w:name w:val=" Char Char Char Char Char Char Char Char Char Char"/>
    <w:basedOn w:val="1"/>
    <w:link w:val="4"/>
    <w:qFormat/>
    <w:uiPriority w:val="0"/>
    <w:pPr>
      <w:widowControl/>
      <w:spacing w:after="160" w:afterLines="0" w:line="240" w:lineRule="exact"/>
      <w:jc w:val="left"/>
    </w:p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2018-05-08T07:22:00Z</dcterms:created>
  <dc:creator>Administrator</dc:creator>
  <cp:lastModifiedBy>Administrator</cp:lastModifiedBy>
  <cp:lastPrinted>2019-07-17T08:44:00Z</cp:lastPrinted>
  <dcterms:modified xsi:type="dcterms:W3CDTF">2019-07-17T09:11:15Z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